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9A" w:rsidRPr="009509EF" w:rsidRDefault="006B189A" w:rsidP="00135008">
      <w:pPr>
        <w:spacing w:after="0" w:line="264" w:lineRule="atLeast"/>
        <w:jc w:val="center"/>
        <w:outlineLvl w:val="1"/>
        <w:rPr>
          <w:rFonts w:ascii="sinkinRegular" w:eastAsia="Times New Roman" w:hAnsi="sinkinRegular" w:cs="Times New Roman"/>
          <w:b/>
          <w:color w:val="000000" w:themeColor="text1"/>
          <w:sz w:val="39"/>
          <w:szCs w:val="39"/>
          <w:lang w:eastAsia="pl-PL"/>
        </w:rPr>
      </w:pPr>
      <w:r w:rsidRPr="009509EF">
        <w:rPr>
          <w:rFonts w:ascii="sinkinRegular" w:eastAsia="Times New Roman" w:hAnsi="sinkinRegular" w:cs="Times New Roman"/>
          <w:b/>
          <w:color w:val="000000" w:themeColor="text1"/>
          <w:sz w:val="39"/>
          <w:szCs w:val="39"/>
          <w:lang w:eastAsia="pl-PL"/>
        </w:rPr>
        <w:t>Pomoc Społeczna</w:t>
      </w:r>
    </w:p>
    <w:p w:rsidR="009509EF" w:rsidRDefault="006B189A" w:rsidP="009509EF">
      <w:pPr>
        <w:pStyle w:val="Nagwek4"/>
        <w:shd w:val="clear" w:color="auto" w:fill="FFFFFF"/>
        <w:spacing w:before="375" w:beforeAutospacing="0" w:after="300" w:afterAutospacing="0" w:line="264" w:lineRule="atLeast"/>
        <w:rPr>
          <w:rStyle w:val="Pogrubienie"/>
          <w:rFonts w:ascii="sinkinMedium" w:hAnsi="sinkinMedium"/>
          <w:color w:val="49842D"/>
          <w:sz w:val="31"/>
          <w:szCs w:val="31"/>
          <w:u w:val="single"/>
        </w:rPr>
      </w:pPr>
      <w:r w:rsidRPr="006B189A">
        <w:rPr>
          <w:rFonts w:ascii="sinkinRegular" w:hAnsi="sinkinRegular"/>
          <w:color w:val="31352F"/>
        </w:rPr>
        <w:t>Pomoc społeczna jest instytucją polityki społecznej państwa mającą na celu umożliwianie osobom i rodzinom przezwyciężania trudnych sytuacji życiowych, których nie są one w stanie pokonać wykorzystując własne uprawnienia, zasoby i możliwości.</w:t>
      </w:r>
      <w:r w:rsidRPr="006B189A">
        <w:rPr>
          <w:rFonts w:ascii="sinkinRegular" w:hAnsi="sinkinRegular"/>
          <w:color w:val="31352F"/>
        </w:rPr>
        <w:br/>
        <w:t>Instytucja ta wspiera osoby i rodziny w wysiłkach zmierzających do zaspokojenia niezbędnych potrzeb i umożliwia im życie w warunkach odpowiadających godności człowieka. Zadaniem pomocy społecznej jest zapobieganie powstawaniu trudnych sytuacji życiowych, przez podejmowanie działań zmierzających do życiowego usamodzielnienia osób i rodzin oraz ich integracji ze środowiskiem.</w:t>
      </w:r>
      <w:r w:rsidRPr="006B189A">
        <w:rPr>
          <w:rFonts w:ascii="sinkinRegular" w:hAnsi="sinkinRegular"/>
          <w:color w:val="31352F"/>
        </w:rPr>
        <w:br/>
        <w:t>Osoby i rodziny korzystające z pomocy społecznej są obowiązane do współdziałania w rozwiązywaniu ich trudnej sytuacji życiowej.</w:t>
      </w:r>
      <w:r w:rsidR="009509EF" w:rsidRPr="009509EF">
        <w:rPr>
          <w:rStyle w:val="Pogrubienie"/>
          <w:rFonts w:ascii="sinkinMedium" w:hAnsi="sinkinMedium"/>
          <w:color w:val="49842D"/>
          <w:sz w:val="31"/>
          <w:szCs w:val="31"/>
          <w:u w:val="single"/>
        </w:rPr>
        <w:t xml:space="preserve"> </w:t>
      </w:r>
    </w:p>
    <w:p w:rsidR="009509EF" w:rsidRPr="009509EF" w:rsidRDefault="009509EF" w:rsidP="009509EF">
      <w:pPr>
        <w:pStyle w:val="Nagwek4"/>
        <w:shd w:val="clear" w:color="auto" w:fill="FFFFFF"/>
        <w:spacing w:before="375" w:beforeAutospacing="0" w:after="300" w:afterAutospacing="0" w:line="264" w:lineRule="atLeast"/>
        <w:rPr>
          <w:rFonts w:ascii="sinkinMedium" w:hAnsi="sinkinMedium"/>
          <w:bCs w:val="0"/>
          <w:color w:val="FF0000"/>
          <w:sz w:val="31"/>
          <w:szCs w:val="31"/>
        </w:rPr>
      </w:pPr>
      <w:r w:rsidRPr="009509EF">
        <w:rPr>
          <w:rFonts w:ascii="sinkinMedium" w:hAnsi="sinkinMedium"/>
          <w:bCs w:val="0"/>
          <w:color w:val="FF0000"/>
          <w:sz w:val="31"/>
          <w:u w:val="single"/>
        </w:rPr>
        <w:t>Prawo do świadczeń z pomocy społecznej</w:t>
      </w:r>
    </w:p>
    <w:p w:rsidR="009509EF" w:rsidRPr="009509EF" w:rsidRDefault="009509EF" w:rsidP="009509EF">
      <w:pPr>
        <w:shd w:val="clear" w:color="auto" w:fill="FFFFFF"/>
        <w:spacing w:before="100" w:beforeAutospacing="1" w:after="100" w:afterAutospacing="1" w:line="240" w:lineRule="auto"/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</w:pPr>
      <w:r w:rsidRPr="009509EF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>Jeżeli umowy międzynarodowe nie stanowią inaczej, przysługuje:</w:t>
      </w:r>
      <w:r w:rsidRPr="009509EF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1) osobom posiadającym obywatelstwo polskie mającym miejsce zamieszkania i przebywającym na terytorium Rzeczypospolitej Polskiej;</w:t>
      </w:r>
      <w:r w:rsidRPr="009509EF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2) cudzoziemcom mającym miejsce zamieszkania i przebywającym na terytorium Rzeczypospolitej Polskiej:</w:t>
      </w:r>
      <w:r w:rsidRPr="009509EF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 xml:space="preserve">a) na podstawie zezwolenia na pobyt stały, zezwolenia na pobyt rezydenta długoterminowego Unii Europejskiej, zezwolenia na pobyt czasowy udzielonego w związku z okolicznością, o której mowa w art. 159 ust. 1 </w:t>
      </w:r>
      <w:proofErr w:type="spellStart"/>
      <w:r w:rsidRPr="009509EF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>pkt</w:t>
      </w:r>
      <w:proofErr w:type="spellEnd"/>
      <w:r w:rsidRPr="009509EF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 xml:space="preserve"> 1 lit. c lub d lub w art. 186 ust. 1 </w:t>
      </w:r>
      <w:proofErr w:type="spellStart"/>
      <w:r w:rsidRPr="009509EF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>pkt</w:t>
      </w:r>
      <w:proofErr w:type="spellEnd"/>
      <w:r w:rsidRPr="009509EF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 xml:space="preserve"> 3 ustawy z dnia 12 grudnia 2013 r. o cudzoziemcach lub w związku z uzyskaniem w Rzeczypospolitej Polskiej statusu uchodźcy lub ochrony uzupełniającej,</w:t>
      </w:r>
      <w:r w:rsidRPr="009509EF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b) w związku z uzyskaniem w Rzeczypospolitej Polskiej zgody na pobyt ze względów humanitarnych lub zgody na pobyt tolerowany – w formie schronienia, posiłku, niezbędnego ubrania oraz zasiłku celowego;</w:t>
      </w:r>
      <w:r w:rsidRPr="009509EF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 xml:space="preserve">3) mającym miejsce zamieszkania i przebywającym na terytorium Rzeczypospolitej Polskiej obywatelom państw członkowskich Unii Europejskiej, państw członkowskich Europejskiego Porozumienia o Wolnym Handlu (EFTA) – stron umowy o Europejskim Obszarze Gospodarczym lub Konfederacji Szwajcarskiej oraz członkom ich rodzin w rozumieniu art. 2 </w:t>
      </w:r>
      <w:proofErr w:type="spellStart"/>
      <w:r w:rsidRPr="009509EF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>pkt</w:t>
      </w:r>
      <w:proofErr w:type="spellEnd"/>
      <w:r w:rsidRPr="009509EF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 xml:space="preserve"> 4 ustawy z dnia 14 lipca 2006 r. o wjeździe na terytorium Rzeczypospolitej Polskiej, pobycie oraz wyjeździe z tego terytorium obywateli państw członkowskich Unii Europejskiej i członków ich rodzin </w:t>
      </w:r>
      <w:r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 xml:space="preserve">, </w:t>
      </w:r>
      <w:r w:rsidRPr="009509EF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>posiadającym prawo pobytu lub prawo stałego pobytu na terytorium Rzeczypospolitej Polskiej.</w:t>
      </w:r>
    </w:p>
    <w:p w:rsidR="006B189A" w:rsidRPr="006B189A" w:rsidRDefault="006B189A" w:rsidP="006B189A">
      <w:pPr>
        <w:shd w:val="clear" w:color="auto" w:fill="FFFFFF"/>
        <w:spacing w:before="100" w:beforeAutospacing="1" w:after="100" w:afterAutospacing="1" w:line="240" w:lineRule="auto"/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</w:pPr>
    </w:p>
    <w:p w:rsidR="006B189A" w:rsidRPr="006B189A" w:rsidRDefault="006B189A" w:rsidP="006B189A">
      <w:pPr>
        <w:shd w:val="clear" w:color="auto" w:fill="FFFFFF"/>
        <w:spacing w:before="375" w:after="300" w:line="264" w:lineRule="atLeast"/>
        <w:outlineLvl w:val="3"/>
        <w:rPr>
          <w:rFonts w:ascii="sinkinMedium" w:eastAsia="Times New Roman" w:hAnsi="sinkinMedium" w:cs="Times New Roman"/>
          <w:b/>
          <w:color w:val="FF0000"/>
          <w:sz w:val="28"/>
          <w:szCs w:val="28"/>
          <w:lang w:eastAsia="pl-PL"/>
        </w:rPr>
      </w:pPr>
      <w:r w:rsidRPr="00135008">
        <w:rPr>
          <w:rFonts w:ascii="sinkinMedium" w:eastAsia="Times New Roman" w:hAnsi="sinkinMedium" w:cs="Times New Roman"/>
          <w:b/>
          <w:color w:val="FF0000"/>
          <w:sz w:val="28"/>
          <w:szCs w:val="28"/>
          <w:u w:val="single"/>
          <w:lang w:eastAsia="pl-PL"/>
        </w:rPr>
        <w:t>Kryterium dochodowe i sposób obliczania dochodu</w:t>
      </w:r>
    </w:p>
    <w:p w:rsidR="00135008" w:rsidRDefault="006B189A" w:rsidP="00135008">
      <w:pPr>
        <w:shd w:val="clear" w:color="auto" w:fill="FFFFFF"/>
        <w:spacing w:before="100" w:beforeAutospacing="1" w:after="100" w:afterAutospacing="1" w:line="240" w:lineRule="auto"/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</w:pP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>Prawo do świadczeń pieniężnych z pomocy społecznej przysługuje: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• osobie samotnie gospodarującej, której dochód nie przekracza kwoty 701zł.,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• osobie w rodzinie, w której dochód na osobę nie przekracza kwoty 528zł.,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Dochód oznacza sumę miesięcznych przychodów (z miesiąca poprzedzającego złożenie wniosku lub w przypadku utraty dochodu z miesiąca, w którym wniosek został złożony, bez względu na tytuł i źródło ich uzyskania, jeżeli ustawa nie stanowi inaczej) pomniejszoną o: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• miesięczne obciążenie podatkiem dochodowym od osób fizycznych,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lastRenderedPageBreak/>
        <w:t>• składki na ubezpieczenie zdrowotne określone w przepisach o świadczeniach opieki zdrowotnej finansowanych ze środków publicznych oraz ubezpieczenia społeczne określone w odrębnych przepisach,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• kwotę alimentów świadczonych na rzecz innych osób.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Do dochodu ustalonego zgodnie z w/w zasadami nie wlicza się: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• jednorazowego pieniężnego świadczenia socjalnego;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• zasiłku celowego;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• pomocy materialnej mającej charakter socjalny albo motywacyjny, przyznawanej na podstawie przepisów o systemie oświaty;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• wartości świadczenia w naturze;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• świadczenia przysługującego osobie bezrobotnej na podstawie przepisów o promocji zatrudnienia i instytucjach rynku pracy z tytułu wykonywania prac społecznie użytecznych;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• świadczenia pieniężnego i pomocy pieniężnej, o których mowa w ustawie z dnia 20 marca 2015 r. o działaczach opozycji antykomunistycznej oraz osobach represjon</w:t>
      </w:r>
      <w:r w:rsidR="00135008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 xml:space="preserve">owanych z powodów politycznych 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• dochodu z powierzchni użytków rolnych poniżej 1 ha przeliczeniowego;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 xml:space="preserve">• świadczenia wychowawczego, o którym mowa w ustawie z dnia 11 lutego 2016 r. o pomocy państwa w wychowywaniu dzieci, oraz dodatku wychowawczego, o którym mowa w ustawie z dnia 9 czerwca 2011 r. o wspieraniu rodziny i systemie pieczy zastępczej 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 xml:space="preserve">• świadczenia pieniężnego, o którym mowa w art. 8a ust. 1 ustawy z dnia 7 września 2007 r. o Karcie Polaka </w:t>
      </w:r>
    </w:p>
    <w:p w:rsidR="00135008" w:rsidRDefault="00135008" w:rsidP="00135008">
      <w:pPr>
        <w:shd w:val="clear" w:color="auto" w:fill="FFFFFF"/>
        <w:spacing w:before="100" w:beforeAutospacing="1" w:after="100" w:afterAutospacing="1" w:line="240" w:lineRule="auto"/>
        <w:rPr>
          <w:rFonts w:ascii="sinkinMedium" w:eastAsia="Times New Roman" w:hAnsi="sinkinMedium" w:cs="Times New Roman"/>
          <w:b/>
          <w:color w:val="FF0000"/>
          <w:sz w:val="28"/>
          <w:szCs w:val="28"/>
          <w:u w:val="single"/>
          <w:lang w:eastAsia="pl-PL"/>
        </w:rPr>
      </w:pPr>
    </w:p>
    <w:p w:rsidR="00135008" w:rsidRDefault="00135008" w:rsidP="00135008">
      <w:pPr>
        <w:shd w:val="clear" w:color="auto" w:fill="FFFFFF"/>
        <w:spacing w:before="100" w:beforeAutospacing="1" w:after="100" w:afterAutospacing="1" w:line="240" w:lineRule="auto"/>
        <w:rPr>
          <w:rFonts w:ascii="sinkinMedium" w:eastAsia="Times New Roman" w:hAnsi="sinkinMedium" w:cs="Times New Roman"/>
          <w:b/>
          <w:color w:val="FF0000"/>
          <w:sz w:val="28"/>
          <w:szCs w:val="28"/>
          <w:u w:val="single"/>
          <w:lang w:eastAsia="pl-PL"/>
        </w:rPr>
      </w:pPr>
    </w:p>
    <w:p w:rsidR="009509EF" w:rsidRDefault="006B189A" w:rsidP="009509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</w:pPr>
      <w:bookmarkStart w:id="0" w:name="_GoBack"/>
      <w:bookmarkEnd w:id="0"/>
      <w:r w:rsidRPr="00135008">
        <w:rPr>
          <w:rFonts w:ascii="sinkinMedium" w:eastAsia="Times New Roman" w:hAnsi="sinkinMedium" w:cs="Times New Roman"/>
          <w:b/>
          <w:color w:val="FF0000"/>
          <w:sz w:val="28"/>
          <w:szCs w:val="28"/>
          <w:u w:val="single"/>
          <w:lang w:eastAsia="pl-PL"/>
        </w:rPr>
        <w:t>Świadczenia z pomocy społecznej</w:t>
      </w:r>
      <w:r w:rsidR="009509EF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 xml:space="preserve">     </w:t>
      </w:r>
    </w:p>
    <w:p w:rsidR="006B189A" w:rsidRPr="006B189A" w:rsidRDefault="009509EF" w:rsidP="009509EF">
      <w:pPr>
        <w:shd w:val="clear" w:color="auto" w:fill="FFFFFF"/>
        <w:spacing w:before="100" w:beforeAutospacing="1" w:after="100" w:afterAutospacing="1" w:line="240" w:lineRule="auto"/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</w:pPr>
      <w:r w:rsidRPr="009509EF">
        <w:rPr>
          <w:rFonts w:ascii="sinkinRegular" w:eastAsia="Times New Roman" w:hAnsi="sinkinRegular" w:cs="Times New Roman"/>
          <w:b/>
          <w:color w:val="31352F"/>
          <w:sz w:val="24"/>
          <w:szCs w:val="24"/>
          <w:u w:val="single"/>
          <w:lang w:eastAsia="pl-PL"/>
        </w:rPr>
        <w:t>Zasiłek stały</w:t>
      </w:r>
      <w:r w:rsidR="00135008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 xml:space="preserve"> </w:t>
      </w:r>
      <w:r w:rsidR="006B189A"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 xml:space="preserve"> (art.</w:t>
      </w:r>
      <w:r w:rsidR="00135008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 xml:space="preserve"> 37 ustawy o pomocy społecznej)                                                                            </w:t>
      </w:r>
      <w:r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 xml:space="preserve">                            </w:t>
      </w:r>
      <w:r w:rsidR="006B189A"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 xml:space="preserve"> przysługuje:</w:t>
      </w:r>
      <w:r w:rsidR="006B189A"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– Pełnoletniej osobie samotnie gospodarującej, całkowicie niezdolnej do pracy z powodu wieku lub niepełnosprawności, jeżeli jej dochód jest niższy od kryterium dochodowego osoby samotnie gospodarującej,</w:t>
      </w:r>
      <w:r w:rsidR="006B189A"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– Pełnoletniej osobie pozostającej w rodzinie, całkowicie niezdolnej do pracy z powodu wieku lub niepełnosprawności, jeżeli jej dochód, jak również dochód na osobę w rodzinie są niższe od kryterium dochodowego na osobę w rodzinie.</w:t>
      </w:r>
      <w:r w:rsidR="006B189A"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Całkowita niezdolność do pracy oznacza całkowitą niezdolność do pracy w rozumieniu przepisów o emeryturach i rentach z Funduszu Ubezpieczeń Społecznych albo zaliczenie do I lub II grupy inwalidzkiej lub legitymowanie się znacznym lub umiarkowanym stopniem niepełnosprawności w rozumieniu przepisów o rehabilitacji zawodowej i społecznej oraz zatrudnianiu osób niepełnosprawnych. Niezdolność do pracy z tytułu wieku oznacza ukończone przez kobietę 60 lat i 65 lat ukończone przez mężczyznę.</w:t>
      </w:r>
      <w:r w:rsidR="006B189A"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</w:r>
    </w:p>
    <w:p w:rsidR="006B189A" w:rsidRDefault="006B189A" w:rsidP="006B189A">
      <w:pPr>
        <w:shd w:val="clear" w:color="auto" w:fill="FFFFFF"/>
        <w:spacing w:before="100" w:beforeAutospacing="1" w:after="100" w:afterAutospacing="1" w:line="240" w:lineRule="auto"/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</w:pPr>
      <w:r w:rsidRPr="006B189A">
        <w:rPr>
          <w:rFonts w:ascii="sinkinMedium" w:eastAsia="Times New Roman" w:hAnsi="sinkinMedium" w:cs="Times New Roman"/>
          <w:b/>
          <w:color w:val="31352F"/>
          <w:sz w:val="24"/>
          <w:szCs w:val="24"/>
          <w:u w:val="single"/>
          <w:lang w:eastAsia="pl-PL"/>
        </w:rPr>
        <w:t>Zasiłek okresowy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> (art. 38 ustawy o pomocy społecznej)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przysługuje: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– osobie samotnie gospodarującej, której dochód jest niższy od kryterium dochodowego osoby samotnie gospodarującej.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– rodzinie, której dochód jest niższy od kryterium dochodowego rodziny.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 xml:space="preserve">Świadczenie to przyznaje się w szczególności ze względu na: długotrwałą chorobę, 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lastRenderedPageBreak/>
        <w:t>niepełnosprawność, bezrobocie, możliwość utrzymania lub nabycia uprawnień do świadczeń z innych systemów zabezpieczenia społecznego.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</w:r>
    </w:p>
    <w:p w:rsidR="006B189A" w:rsidRPr="006B189A" w:rsidRDefault="006B189A" w:rsidP="006B189A">
      <w:pPr>
        <w:shd w:val="clear" w:color="auto" w:fill="FFFFFF"/>
        <w:spacing w:before="100" w:beforeAutospacing="1" w:after="100" w:afterAutospacing="1" w:line="240" w:lineRule="auto"/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</w:pPr>
      <w:r w:rsidRPr="006B189A">
        <w:rPr>
          <w:rFonts w:ascii="sinkinMedium" w:eastAsia="Times New Roman" w:hAnsi="sinkinMedium" w:cs="Times New Roman"/>
          <w:b/>
          <w:color w:val="31352F"/>
          <w:sz w:val="24"/>
          <w:szCs w:val="24"/>
          <w:u w:val="single"/>
          <w:lang w:eastAsia="pl-PL"/>
        </w:rPr>
        <w:t>Zasiłek celowy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> (art. 39 ustawy o pomocy społecznej)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Zasiłek celowy może być przyznany w celu zaspokojenia niezbędnej potrzeby bytowej. Świadczenie to można przyznać w szczególności na pokrycie części lub całości kosztów zakupu żywności, leków i leczenia, opału, odzieży, niezbędnych przedmiotów użytku domowego, drobnych remontów i napraw w mieszkaniu, a także kosztów pogrzebu. Osobom bezdomnym i innym osobom niemającym możliwości uzyskania świadczeń na podstawie przepisów o powszechnym ubezpieczeniu w Narodowym Funduszu Zdrowia może być przyznany zasiłek celowy na pokrycie części lub całości wydatków na świadczenia zdrowotne.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Zgodnie z art. 40 ustawy zasiłek celowy może być przyznany niezależnie od dochodu i może nie podlegać zwrotowi w przypadku, gdy: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• osoba lub rodzina poniosła straty w wyniku zdarzenia losowego,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• osoba lub rodzina poniosła straty w wyniku klęski żywiołowej lub ekologicznej.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Natomiast na podstawie art. 41 ustawy, w szczególnie uzasadnionych przypadkach osobie lub rodzinie o dochodach przekraczających kryterium dochodowe może być przyznany: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• specjalny zasiłek celowy w wysokości nieprzekraczającej odpowiednio kryterium dochodowego osoby samotnie gospodarującej lub rodziny, który nie podlega zwrotowi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• zasiłek okresowy, zasiłek celowy lub pomoc rzeczowa, pod warunkiem zwrotu części lub całości kwoty zasiłku lub wydatków na pomoc rzeczową.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Zasiłek celowy może być przyznany również w celu realizacji postanowień kontraktu socjalnego (w tym przypadku zasiłek celowy może być wypłacany niezależnie od dochodu, przez okres do 2 miesięcy od dnia, w którym osoba objęta kontraktem socjalnym, w trakcie jego realizacji, stała się osobą zatrudnioną)</w:t>
      </w:r>
    </w:p>
    <w:p w:rsidR="006B189A" w:rsidRPr="006B189A" w:rsidRDefault="006B189A" w:rsidP="006B189A">
      <w:pPr>
        <w:shd w:val="clear" w:color="auto" w:fill="FFFFFF"/>
        <w:spacing w:before="100" w:beforeAutospacing="1" w:after="100" w:afterAutospacing="1" w:line="240" w:lineRule="auto"/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</w:pPr>
      <w:r w:rsidRPr="006B189A">
        <w:rPr>
          <w:rFonts w:ascii="sinkinMedium" w:eastAsia="Times New Roman" w:hAnsi="sinkinMedium" w:cs="Times New Roman"/>
          <w:b/>
          <w:color w:val="31352F"/>
          <w:sz w:val="24"/>
          <w:szCs w:val="24"/>
          <w:u w:val="single"/>
          <w:lang w:eastAsia="pl-PL"/>
        </w:rPr>
        <w:t>Składki na ubezpieczenie społeczne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t> (art. 42 ustawy o pomocy społecznej)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Za osobę, która zrezygnuje z zatrudnienia w związku z koniecznością sprawowania bezpośredniej, osobistej opieki nad długotrwale lub ciężko chorym członkiem rodziny oraz wspólnie niezamieszkującymi matką, ojcem lub rodzeństwem, ośrodek pomocy społecznej opłaca składkę na ubezpieczenia emerytalne i rentowe od kwoty kryterium dochodowego na osobę w rodzinie, jeżeli dochód na osobę w rodzinie osoby opiekującej się nie przekracza 150% kwoty kryterium dochodowego na osobę w rodzinie i osoba opiekująca się nie podlega obowiązkowo ubezpieczeniom emerytalnemu i rentowym z innych tytułów lub nie otrzymuje emerytury albo renty. Dotyczy to również osób, które w związku z koniecznością sprawowania opieki pozostają na bezpłatnym urlopie. Przez ojca i matkę należy rozumieć również ojca i matkę współmałżonka. Konieczność sprawowania bezpośredniej, osobistej opieki nad osobami, o których mowa powyżej, stwierdza lekarz ubezpieczenia zdrowotnego w zaświadczeniu wydanym nie wcześniej niż na 14 dni przed złożeniem wniosku o przyznanie świadczenia.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Składka na ubezpieczenia emerytalne i rentowe w wysokości określonej przepisami o systemie ubezpieczeń społecznych jest opłacana przez okres sprawowania opieki.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Składka na ubezpieczenia emerytalne i rentowe nie przysługuje osobie, która w dniu złożenia wniosku o przyznanie świadczenia: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– ukończyła 50 lat i nie posiada okresu ubezpieczenia (składkowego i nieskładkowego) wynoszącego co najmniej 10 lat;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– posiada okres ubezpieczenia (składkowy i nieskładkowy) wynoszący 20 lat w przypadku kobiet i 25 lat w przypadku mężczyzn.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lastRenderedPageBreak/>
        <w:t>Przy ustalaniu okresu ubezpieczenia, o którym wyżej mowa, okresy nieskładkowe ustala się w wymiarze nieprzekraczającym jednej trzeciej udowodnionych okresów składkowych.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Składki na ubezpieczenie zdrowotne (art.66 ust.1 pkt 26 i 29 oraz art. 73 pkt 9 i 11 ustawy z dnia 27 sierpnia 2004 r. o świadczeniach opieki zdrowotnej finansowanych ze środków publicznych)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Ośrodek pomocy społecznej opłaca składkę na ubezpieczenie zdrowotne za osobę: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– pobierającą zasiłek stały z pomocy społecznej niepodlegające obowiązkowi ubezpieczenia zdrowotnego z innego tytułu,</w:t>
      </w:r>
      <w:r w:rsidRPr="006B189A">
        <w:rPr>
          <w:rFonts w:ascii="sinkinRegular" w:eastAsia="Times New Roman" w:hAnsi="sinkinRegular" w:cs="Times New Roman"/>
          <w:color w:val="31352F"/>
          <w:sz w:val="24"/>
          <w:szCs w:val="24"/>
          <w:lang w:eastAsia="pl-PL"/>
        </w:rPr>
        <w:br/>
        <w:t>– bezdomną wychodzącą z bezdomności niepodlegającą obowiązkowi ubezpieczenia zdrowotnego z innego tytułu.</w:t>
      </w:r>
    </w:p>
    <w:p w:rsidR="00C90020" w:rsidRPr="006B189A" w:rsidRDefault="00C90020">
      <w:pPr>
        <w:rPr>
          <w:sz w:val="24"/>
          <w:szCs w:val="24"/>
        </w:rPr>
      </w:pPr>
    </w:p>
    <w:sectPr w:rsidR="00C90020" w:rsidRPr="006B189A" w:rsidSect="0003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nki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nkin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89A"/>
    <w:rsid w:val="000312F0"/>
    <w:rsid w:val="00135008"/>
    <w:rsid w:val="006B189A"/>
    <w:rsid w:val="009509EF"/>
    <w:rsid w:val="00C9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2F0"/>
  </w:style>
  <w:style w:type="paragraph" w:styleId="Nagwek4">
    <w:name w:val="heading 4"/>
    <w:basedOn w:val="Normalny"/>
    <w:link w:val="Nagwek4Znak"/>
    <w:uiPriority w:val="9"/>
    <w:qFormat/>
    <w:rsid w:val="00950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509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09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9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57C9-FB16-4F56-B572-06E55CC3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Grzyb</cp:lastModifiedBy>
  <cp:revision>2</cp:revision>
  <dcterms:created xsi:type="dcterms:W3CDTF">2019-01-07T13:23:00Z</dcterms:created>
  <dcterms:modified xsi:type="dcterms:W3CDTF">2019-01-07T17:20:00Z</dcterms:modified>
</cp:coreProperties>
</file>